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1" w:rsidRDefault="008A0DC1" w:rsidP="008A0DC1">
      <w:pPr>
        <w:spacing w:line="50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  <w:lang w:eastAsia="zh-CN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  <w:lang w:eastAsia="zh-CN"/>
        </w:rPr>
        <w:t>民用建筑外保温系统及外墙装饰防火暂行规定</w:t>
      </w:r>
    </w:p>
    <w:p w:rsidR="008A0DC1" w:rsidRDefault="008A0DC1" w:rsidP="008A0DC1">
      <w:pPr>
        <w:spacing w:line="500" w:lineRule="exact"/>
        <w:jc w:val="center"/>
        <w:rPr>
          <w:rFonts w:ascii="仿宋_GB2312" w:eastAsia="仿宋_GB2312" w:hAnsi="宋体" w:cs="宋体" w:hint="eastAsia"/>
          <w:b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b/>
          <w:sz w:val="32"/>
          <w:szCs w:val="32"/>
          <w:lang w:eastAsia="zh-CN"/>
        </w:rPr>
        <w:t>第一章 一般规定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第一条 本暂行规定适用于民用建筑外保温系统及外墙装饰的防火设计、施工及使用。 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第二条 民用建筑外保温材料的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燃烧性能宜为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A级，且不应低于B2级。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第三条 民用建筑外保温系统及外墙装饰防火设计、施工及使用，除执行本暂行规定外还应符合国家现行标准规范的有关规定。</w:t>
      </w:r>
    </w:p>
    <w:p w:rsidR="008A0DC1" w:rsidRDefault="008A0DC1" w:rsidP="008A0DC1">
      <w:pPr>
        <w:spacing w:line="500" w:lineRule="exact"/>
        <w:jc w:val="center"/>
        <w:rPr>
          <w:rFonts w:ascii="仿宋_GB2312" w:eastAsia="仿宋_GB2312" w:hAnsi="宋体" w:cs="宋体" w:hint="eastAsia"/>
          <w:b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b/>
          <w:sz w:val="32"/>
          <w:szCs w:val="32"/>
          <w:lang w:eastAsia="zh-CN"/>
        </w:rPr>
        <w:t>第二章 墙体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第四条 非幕墙式建筑应符合下列规定：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一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)住宅建筑应符合下列规定：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1、高度大于等于100M的建筑，其保温材料的燃烧性能应为A级。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2、高度大于等于60M小于100M的建筑，其保温材料的燃烧性能不应低于B2级。当采用B2级保温材料时，每层应设置水平防火隔离带。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3、高度大于等于24M小于60M的建筑，其保温材料的燃烧性能不应低于B2级。当采用B2级保温材料时，每两层应设置水平防火隔离带。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4、高度小于24M的建筑，其保温材料的燃烧性能不应低于B2级。其中，当采用B2级保温材料时，每三层应设置水平防火隔离带。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(二)其他民用建筑应符合下列规定：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1、高度大于等于50M的建筑，其保温材料的燃烧性能应为A级。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2、高度大于等于24M小于50M的建筑，其保温材料的燃烧性能应为A级或B1级。其中，当采用B1级保温材料时，每两层应设置水平防火隔离带。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3、高度小于24M的建筑，其保温材料的燃烧性能不应低于B2级。其中，当采用B2级保温材料时，每层应设置水平防火隔离带。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(三)外保温系统应采用不燃或难燃材料作防护层。防护层应将保温材料完全覆盖：首层的防护层厚度不应小于6mm，其他层不应小于3mm。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(四)采用外墙外保温系统的建筑，其基层墙体耐火极限应符合现行防火规范的有关规定。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第五条 幕墙式建筑应符合下列规定：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一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)建筑高度大于等于24M时，保温材料的燃烧性能 应为A级。 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(二)建筑高度小于24M时，保温材料的燃烧性能应为 A级或B1级。其中，当采用B1级保温材料时，每层应设置水平防火隔离带。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(三)保温材料应采用不燃材料作防护层。防护层应将保温材料完全覆盖。防护层厚度不应小于3mm。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(四)采用金属、石材等非透明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幕楷结构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的建筑，应设置基层墙体，其耐火极限应符合现行防火规范关于外墙耐火极限的有关规定；玻璃幕墙的窗间墙、窗槛墙、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裙墙的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耐火极限和防火构造应符合现行防火规范关于建筑幕墙的有关规定。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(五)基层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墙体构部空腔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及建筑幕墙与基层墙体、窗间墙、窗槛墙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及裙墙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之间的空间，应在每层楼板处采用防火封堵材料封堵。 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第六条 按本规定需要设置防火隔离带时，应沿楼板位置设置宽度不小于300mm的A级保温材料。=防火隔离带与墙面应进行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全面积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粘贴。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第七条 建筑外墙的装饰层，除采用涂料外，应采用不燃材料。当建筑外墙采用可燃保温材料时，不宜采用着火后易脱落的瓷砖等材料。</w:t>
      </w:r>
    </w:p>
    <w:p w:rsidR="008A0DC1" w:rsidRDefault="008A0DC1" w:rsidP="008A0DC1">
      <w:pPr>
        <w:spacing w:line="500" w:lineRule="exact"/>
        <w:jc w:val="center"/>
        <w:rPr>
          <w:rFonts w:ascii="仿宋_GB2312" w:eastAsia="仿宋_GB2312" w:hAnsi="宋体" w:cs="宋体" w:hint="eastAsia"/>
          <w:b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b/>
          <w:sz w:val="32"/>
          <w:szCs w:val="32"/>
          <w:lang w:eastAsia="zh-CN"/>
        </w:rPr>
        <w:t>第三章 屋顶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第八条 对于屋顶基层采用耐火极限不小于1.00h的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不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燃烧体的建筑，其屋顶的保温材料不应低于B2级；其他情况，保温材料的燃烧性能不应低于B1级。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第九条 屋顶与外墙交界处、屋顶开口部位四周的保温层，应采用宽度不小于500mm的A级保温材料设置水平防火隔离带。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第十条 屋预防水层或可燃保温层应采用不燃材料进行覆盖。</w:t>
      </w:r>
    </w:p>
    <w:p w:rsidR="008A0DC1" w:rsidRDefault="008A0DC1" w:rsidP="008A0DC1">
      <w:pPr>
        <w:spacing w:line="500" w:lineRule="exact"/>
        <w:jc w:val="center"/>
        <w:rPr>
          <w:rFonts w:ascii="仿宋_GB2312" w:eastAsia="仿宋_GB2312" w:hAnsi="宋体" w:cs="宋体" w:hint="eastAsia"/>
          <w:b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b/>
          <w:sz w:val="32"/>
          <w:szCs w:val="32"/>
          <w:lang w:eastAsia="zh-CN"/>
        </w:rPr>
        <w:t>第四章 金属夹芯复合板材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第十一条 用于临时性居住建筑的金属夹芯复合板材，其芯材应采用不燃或难燃保温材料。</w:t>
      </w:r>
    </w:p>
    <w:p w:rsidR="008A0DC1" w:rsidRDefault="008A0DC1" w:rsidP="008A0DC1">
      <w:pPr>
        <w:spacing w:line="500" w:lineRule="exact"/>
        <w:jc w:val="center"/>
        <w:rPr>
          <w:rFonts w:ascii="仿宋_GB2312" w:eastAsia="仿宋_GB2312" w:hAnsi="宋体" w:cs="宋体" w:hint="eastAsia"/>
          <w:b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b/>
          <w:sz w:val="32"/>
          <w:szCs w:val="32"/>
          <w:lang w:eastAsia="zh-CN"/>
        </w:rPr>
        <w:t>第五章 施工及使用的防火规定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第十二条 建筑外保温系统的施工应符合下列规定：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一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) 保温材料进场后，应远离火源。露天存放时，应采用不燃材料完全覆盖。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(二)需要采取防火构造措施的外保温材料，其防火隔离带的施工应与保温材料的施工同步进行。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(三)可燃、难燃保温材料的施工应分区段进行，各区段应保持足够的防火间距，并宜做到边固定保温材料边涂抹防护层。未涂抹防护层的外保温材料高度不应超过3层。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(四)幕墙的支撑构件和空调机等设施的支撑构件，其电焊等工序应在保温材料铺设前进行。确需在保温材料铺设后进行的，应在电焊部位的周围及底部铺设防火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毯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等防火保护措施。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(五)不得直接在可燃保温材料上进行防水材料的热熔、热粘结法施工。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(六)施工用照明等高温设备靠近可燃保温材料时，应采取可靠的防火保护措施。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(七)聚氨酯等保温材料进行现场发泡作业时，应避开高温环境。施工工艺、工具及服装等应采取防静电措施。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(八)施工现场应设置室内外临时消火栓系统，并满足施工现场火灾扑救的消防供水要求。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(九)外保温工程施工作业工位应配备足够的消防灭火器械</w:t>
      </w:r>
    </w:p>
    <w:p w:rsidR="008A0DC1" w:rsidRDefault="008A0DC1" w:rsidP="008A0DC1">
      <w:pPr>
        <w:spacing w:line="500" w:lineRule="exact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第十三条 建筑外保温系统的日常使用应符合下列规定：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一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)与外墙和屋顶相贴邻的竖井、凹槽、平台等，不应堆放可燃物。 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(二)火源、热源等火灾危险源与外墙、屋顶应保持一定的安全距离，并应加强对火源、热源的管理。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(三)不宜在采用外保温材料的墙面和屋顶上进行焊接、钻孔等施工作业。确需施工作业的，应采取可靠的防火保护措施，并应在施工完成后，及时将裸露的外保温材料进行防护处理。</w:t>
      </w:r>
    </w:p>
    <w:p w:rsidR="008A0DC1" w:rsidRDefault="008A0DC1" w:rsidP="008A0DC1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(四)电气线路不应穿过可燃外保温材料。确需穿过时，应采取穿管等防火保护措施。</w:t>
      </w:r>
    </w:p>
    <w:p w:rsidR="004917C5" w:rsidRDefault="00BF0F8D" w:rsidP="000256F3">
      <w:pPr>
        <w:ind w:firstLine="420"/>
        <w:rPr>
          <w:lang w:eastAsia="zh-CN"/>
        </w:rPr>
      </w:pPr>
    </w:p>
    <w:sectPr w:rsidR="004917C5" w:rsidSect="00462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8D" w:rsidRDefault="00BF0F8D" w:rsidP="008A0DC1">
      <w:r>
        <w:separator/>
      </w:r>
    </w:p>
  </w:endnote>
  <w:endnote w:type="continuationSeparator" w:id="0">
    <w:p w:rsidR="00BF0F8D" w:rsidRDefault="00BF0F8D" w:rsidP="008A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8D" w:rsidRDefault="00BF0F8D" w:rsidP="008A0DC1">
      <w:r>
        <w:separator/>
      </w:r>
    </w:p>
  </w:footnote>
  <w:footnote w:type="continuationSeparator" w:id="0">
    <w:p w:rsidR="00BF0F8D" w:rsidRDefault="00BF0F8D" w:rsidP="008A0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DC1"/>
    <w:rsid w:val="000256F3"/>
    <w:rsid w:val="00086F53"/>
    <w:rsid w:val="00190309"/>
    <w:rsid w:val="00222F5C"/>
    <w:rsid w:val="0046263A"/>
    <w:rsid w:val="00631274"/>
    <w:rsid w:val="007B7268"/>
    <w:rsid w:val="008A0DC1"/>
    <w:rsid w:val="00955CD8"/>
    <w:rsid w:val="00A04E4B"/>
    <w:rsid w:val="00B96714"/>
    <w:rsid w:val="00BF0F8D"/>
    <w:rsid w:val="00D10AA3"/>
    <w:rsid w:val="00D34DF6"/>
    <w:rsid w:val="00DD0BD0"/>
    <w:rsid w:val="00EE6BB9"/>
    <w:rsid w:val="00FB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67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67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967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967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967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967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9671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967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967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67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967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967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B9671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9671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9671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9671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9671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967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967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967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967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B967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96714"/>
    <w:rPr>
      <w:b/>
      <w:bCs/>
    </w:rPr>
  </w:style>
  <w:style w:type="character" w:styleId="a6">
    <w:name w:val="Emphasis"/>
    <w:basedOn w:val="a0"/>
    <w:uiPriority w:val="20"/>
    <w:qFormat/>
    <w:rsid w:val="00B967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96714"/>
    <w:rPr>
      <w:szCs w:val="32"/>
    </w:rPr>
  </w:style>
  <w:style w:type="paragraph" w:styleId="a8">
    <w:name w:val="List Paragraph"/>
    <w:basedOn w:val="a"/>
    <w:uiPriority w:val="34"/>
    <w:qFormat/>
    <w:rsid w:val="00B9671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96714"/>
    <w:rPr>
      <w:i/>
    </w:rPr>
  </w:style>
  <w:style w:type="character" w:customStyle="1" w:styleId="Char1">
    <w:name w:val="引用 Char"/>
    <w:basedOn w:val="a0"/>
    <w:link w:val="a9"/>
    <w:uiPriority w:val="29"/>
    <w:rsid w:val="00B967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96714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96714"/>
    <w:rPr>
      <w:b/>
      <w:i/>
      <w:sz w:val="24"/>
    </w:rPr>
  </w:style>
  <w:style w:type="character" w:styleId="ab">
    <w:name w:val="Subtle Emphasis"/>
    <w:uiPriority w:val="19"/>
    <w:qFormat/>
    <w:rsid w:val="00B967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967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967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967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967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96714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8A0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8A0DC1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8A0D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8A0D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Lenovo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2013-01-10T08:22:00Z</dcterms:created>
  <dcterms:modified xsi:type="dcterms:W3CDTF">2013-01-10T08:22:00Z</dcterms:modified>
</cp:coreProperties>
</file>